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0"/>
        <w:contextualSpacing w:val="0"/>
        <w:ind w:firstLine="0"/>
        <w:jc w:val="center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b/>
          <w:bCs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222222"/>
          <w:sz w:val="28"/>
          <w:szCs w:val="28"/>
        </w:rPr>
        <w:t xml:space="preserve">Каноническая справка</w:t>
      </w:r>
      <w:r>
        <w:rPr>
          <w:rFonts w:ascii="Times New Roman" w:hAnsi="Times New Roman" w:cs="Times New Roman"/>
          <w:b/>
          <w:bCs/>
          <w:i w:val="0"/>
          <w:iCs w:val="0"/>
          <w:color w:val="222222"/>
          <w:sz w:val="28"/>
          <w:szCs w:val="28"/>
        </w:rPr>
      </w:r>
    </w:p>
    <w:p>
      <w:pPr>
        <w:pStyle w:val="650"/>
        <w:contextualSpacing w:val="0"/>
        <w:ind w:firstLine="0"/>
        <w:jc w:val="center"/>
        <w:spacing w:before="0" w:beforeAutospacing="0" w:after="120" w:afterAutospacing="0"/>
        <w:shd w:val="clear" w:color="auto" w:fill="ffffff"/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(Житие)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  <w:highlight w:val="none"/>
        </w:rPr>
      </w:r>
    </w:p>
    <w:p>
      <w:pPr>
        <w:pStyle w:val="650"/>
        <w:contextualSpacing w:val="0"/>
        <w:ind w:firstLine="0"/>
        <w:jc w:val="center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bCs w:val="0"/>
          <w:i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  <w:highlight w:val="none"/>
        </w:rPr>
      </w:r>
    </w:p>
    <w:p>
      <w:pPr>
        <w:pStyle w:val="650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Св. равноапостольная Ольга (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ок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. 890-969), княгиня Киевская, стала первым правителем Руси, принявшим христианство. После гибели мужа, князя Игоря, посвятила жизнь укреплению государства. В 954 (или 957) году Ольга крестилась в Константинополе с именем Елена, пол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ожив начало христианству на Руси. Вернувшись, она строила храмы, в том числе Софийский собор в Киеве и Троицкий во Пскове. Перед смертью завещала похоронить себя по христианскому обряду. Её мощи прославились чудесами, а в 1547 году она была канонизирована.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1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* * *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Святая равноапостольная Ольга была супругой великого князя Киевского Игоря. Борьба христианства с язычеством при Игоре и Ольге, княживших после Олега († 912), вступает в новый период. Церковь Христова в последние годы княжения Игоря († 945) ста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новится значительной духовной и государственной силой в Русском государстве. Об этом свидетельствует сохранившийся текст договора Игоря с греками 944 года, который включен летописцем в «Повесть временных лет», в статью, описывающую события 6453 (945) года.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Мирный договор с Константинополем должен был утверждаться обеими религиозными общинами Киева: «Русь крещеная», то есть христиане, приводились к присяге в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соборном храме святого пророка Божия Илии; «Русь некрещеная», язычники клялись на оружии в святилище Перуна Громовержца. Тот факт, что христиане поставлены в документе на первом месте, говорит о их преимущественном духовном значении в жизни Киевской Руси.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Очевидно, в момент, когда договор 944 года составлялся в Царьграде, у власти в Киеве стояли люди,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сочувствовавшие христианству, сознававшие историческую необходимость приобщения Руси к животворной христианской культуре. К этому направлению принадлежал, возможно, и сам князь Игорь, официальное положение которого не позволяло ему лично перейти в новую в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еру, не решив вопроса о Крещении всей страны и установлении в ней православной церковной иерархии. Поэтому договор был составлен в осторожных выражениях, которые не помешали бы князю утвердить его и в форме языческой клятвы, и в форме присяги христианской.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Но пока византийские послы прибыли в Киев, обстановка на Днепре существенно изменилась. Четко определилась языческая оппозиция, во главе которой стояли варяжские воеводы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Свенельд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и его сын Мстислав (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Мстиша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), которым Игорь дал в держание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Древлянскую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землю.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Сильно было в Киеве и влияние хазарских иудеев, которым не могла прийтись по нраву мысль о торжестве православия в Русской земле.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Не сумев преодолеть косности обычая, Игорь остался язычником и скрепил договор по языческому образцу – клятвой на мечах. Он отверг благодать Крещения и был наказан за неверие. Год спустя, в 945 году, восставшие язычники убили его в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Древлянской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земле, разорвав между двух деревьев. Но дни язычества и основанного на нем жизненного уклада славянских племен были уже сочтены. Бремя государственного служения возложила на себя при трехлетнем сыне Святославе вдова Игоря – великая княгиня Киевская Ольга.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Имя будущей просветительницы Русского края и родину ее «Повесть временных лет» впервые называет в статье о женитьбе Игоря: «и привели ему жену из Пскова, именем Ольгу». Принадлежала она, уточняет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Иоакимовская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летопись, к роду князей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Изборских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одной из забытых древне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русских княжеских династий, которых было на Руси в Х–ХI вв. не меньше двадцати, но которые все были вытеснены со временем Рюриковичами или слились с ними посредством браков. Некоторые из них были местного, славянского происхождения, другие – пришлые, варяж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ские. Известно, что скандинавские конунги, приглашенные на княжение в русские города, неизменно принимали русский язык, часто – русские имена и быстро становились настоящими русскими как по образу жизни, так и по мировоззрению и даже по физическому облику.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Так и супругу Игоря звали варяжским именем Хельга, в русском «ок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ающем» произношении – Ольга, Вольга. Женское имя Ольга соответствует мужскому Олег (Хельги), что значит «святой». Хотя языческое понимание святости совершенно отлично от христианского, но и оно предполагает в человеке особый духовный настрой, целомудрие и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трезвение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ум и прозорливость. Раскрывая духовное значение имени, народ Олега назвал Вещим, Ольгу – Мудрой.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Позднейшие предания называли ее родовым имением село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Выбуты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в нескольких километрах от Пскова вверх по реке Великой. Еще недавно показывали на реке Ольгин мост – у древней переправы, где Ольга встретилась с Игорем. Псковская топонимика сохранила немало названий, связанных с памятью великой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псковитянки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: деревни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Ольженец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и Ольгино Поле, Ольгины Ворота – один из рукавов реки Великой, Ольгина Гора и Ольгин Крест – близ Псковского озера, Ольгин Камень – у села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Выбуты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Житие святой Ольги повествует, что в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Выбутах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молодой князь охотился «в области Псковской» и, желая перебраться через реку Велик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ую, увидел «некоего плывущего в лодке» и подозвал его к берегу. Отплыв от берега в лодке, князь обнаружил, что его везет девушка удивительной красоты. Игорь воспылал к ней похотью и стал склонять ее ко греху. Перевозчица оказалась не только красива, но цел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омудренна и умна. Она устыдила Игоря, напомнив ему о княжеском достоинстве правителя и судии, который должен быть «светлым примером добрых дел» для своих поданных. Игорь расстался с ней, храня в памяти ее слова и прекрасный образ. Когда пришло время выбира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ть невесту, в Киев собрали самых красивых девушек княжества. Но ни одна из них не пришлась ему по сердцу. И тогда он вспомнил «дивную в девицах» Ольгу и послал за ней сродника своего князя Олега. Так Ольга стала женой князя Игоря, великой русской княгиней.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После женитьбы Игорь отправился в поход на греков, а вернулся из него уже отцом: родился сын Святослав. Вскоре Игорь был убит древлянами. Боясь мести за убийство Киевского князя, древляне отправили послов к княгине Ольге, предлагая ей вступить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 брак со своим правителем Малом. Ольга сделала вид, что согласна. Хитростью заманила она в Киев два посольства древлян, предав их мучительной смерти: первое было заживо погребено «на дворе княжеском», второе – сожжено в бане. После этого пять тысяч мужей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древлянских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были убиты воинами Ольги на тризне по Игорю у стен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древлянской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столицы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Искоростеня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. На следующий год Ольга снова подошла с войском к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Искоростеню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. Город сожгли с помощью птиц, к ногам которых привязали горящую паклю. Оставшихся в живых древлян пленили и продали в рабство.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Борьба за единство Руси, за подчинение Киевскому центру раздираемых взаимной враждой племен и княжеств прокладывала путь к окончательной победе христианства в Русской земле. Ольга Богомудрая вошла в историю как великая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созидательница государственной жизни и культуры Киевской Руси. Летописи полны свидетельств о ее неустанных «хождениях» по Русской земле с целью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благоустроения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и упорядочения гражданского и хозяйственного быта подданных.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Добившись внутреннего укрепления власти Киевского великого князя, ослабив влияние мешавших собиранию Руси мелких местных князей, Ольга централизовала все государственное управление с помощью системы «погостов». В 946 году с сыном и дружиной прошла она по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Древлянской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земле, «устанавливая дани и оброки», отмечая села, становища и места охот, подлежащие включению в киевские великокняжеские владения. На другой год ходила в Новгород, устраивая погосты по рекам Мсте и Луге, всюду оставляя зримые следы своей деятельности. «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Ловища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ее (места охоты) были по всей земле, установленные знаки, места ее и погосты, – писал летописец, – и сани ее стоят в Пскове до сего дня, есть указанные ею места для ловли птиц по Днепру и по Десне; и село ее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Ольжичи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существует и поныне».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Устроенные Ольгой погосты, являясь финансово-административными и судебными центрами, представляли прочную опору великокняжеской власти на местах.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Будучи прежде всего, по самому смыслу слова, центрами торговли и обмена («гость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» – купец), собирая и организуя вокруг себя население (вместо прежнего «полюдья» сбор дани и налогов осуществлялся теперь равномерно и упорядоченно по погостам), Ольгины погосты стали важнейшей ячейкой этнического и культурного объединения русского народа.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Позже, когда Ольга стала христианкой, по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погостам стали воздвигать первые храмы; со времени Крещения Руси при святом Владимире погост и храм (приход) стали неразрывными понятиями. (Лишь впоследствии от существовавших возле храмов кладбищ развилось словоупотребление «погост» в смысле «кладбище».)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Много трудов приложила княгиня Ольга для усиления оборонной мощи страны. Города застраивались и укреплялись,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вышгороды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(или детинцы, кромы) обрастали каменными и дубовыми стенами (забралами), ощетинивались валами, частоколами. Сама княгиня, зная, сколь враждебно относились многие к идее укрепления княжеской власти и объедине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ния Руси, жила постоянно «на горе», над Днепром, за надежными забралами киевского Вышгорода (Верхнего города), окруженная верной дружиной. Две трети собранной дани, по свидетельству летописи, она отдавала в распоряжение киевского веча, третья часть шла «к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Ользе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на Вышгород» – на нужды ратного строения. Ко времени Ольги историки относят установление первых государственных границ России – на западе, с Польшей. Богатырские заставы на юге сторожили мирные нивы киевлян от народов Дикого П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оля. Чужеземцы спешили в Гардарику («страну городов»), как называли они Русь, с товарами и рукодельями. Шведы, датчане, немцы охотно вступали наемниками в русское войско. Ширятся зарубежные связи Киева. Это способствует развитию каменного строительства в г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ороде, начало которому положила княгиня Ольга. Первые каменные здания Киева – городской дворец и загородный терем Ольги – лишь в нашем веке были разысканы археологами. (Дворец, точнее, его фундамент и остатки стен, были найдены и раскопаны в 1971–1972 гг.)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Но не только укрепление государственности и развитие хозяйственных форм народной жизни привлекало внимание мудрой княгини. Еще более насущным представлялось ей коренное преобразование религиозн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ой жизни Руси, духовное преображение русского народа. Русь становилась великой державой. Лишь два европейских государства могли в те годы соперничать с нею в значении и мощи: на востоке Европы – древняя Византийская империя, на западе – королевство саксов.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Опыт обеих империй, обязанных своим возвышением духу христианского учения, религиозным основам жизни, показывал ясно, что путь к будущему величию Руси лежит не только через военные, но прежде всего и преимущественно через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духовные завоевания и достижения. Поручив Киев подросшему сыну Святославу, великая княгиня Ольга летом 954 года, взыскав благодати и истины, отправляется с большим флотом в Царьград. Это было мирное «хождение», сочетавшее задачи религиозного паломничества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и дипломатической миссии, но политические соображения требовали, чтобы оно стало одновременно проявлением военного могущества Руси на Черном море, напомнило гордым «ромеям» о победоносных походах Аскольда и Олега, прибившего в 907 году свой щит «на вратах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Цареграда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Результат был достигнут. Появление русского флота на Босфоре создавало необходимые предпосылки для разв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ития дружеского русско-византийского диалога. В свою очередь, южная столица поразила суровую дочь Севера разнообразием красок, великолепием архитектуры, смешением языков и народов мира. Но особенное впечатление производило богатство христианских храмов и с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обранных в них святынь. Царьград, «царствующий град» Греческой империи, еще при самом основании (точнее, возобновлении) в 330 году посвященный святым равноапостольным Константином Великим (память 21 мая) Пресвятой Богородице (это событие праздновалось в Гр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еческой Церкви 11 мая и перешло оттуда в русские месяцесловы), стремился во всем быть достойным своей Небесной Покровительницы. Русская княгиня присутствовала за богослужением в лучших храмах Константинополя – Святой Софии, Влахернской Богоматери и других.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Сердце мудрой Ольги открылось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святому православию, она принимает решение стать христианкой. Таинство Крещения совершил над нею патриарх Константинопольский Феофилакт (933–956), а восприемником был сам император Константин Багрянородный (912–959). Ей было наречено в Крещении имя Елена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 честь святой равноапостольной, матери святого Константина, обретшей Честное Древо Креста Господня. В назидательном слове, сказанном по совершении обряда, патриарх сказал: «Благословенна ты в женах русских, ибо оставила тьму и возлюбила Свет. Благословят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тебя русские люди во всех грядущих поколениях, от внуков и правнуков до отдаленнейших потомков твоих». Он наставил ее в истинах веры, церковном уставе и молитвенном правиле, изъяснил заповеди о посте, целомудрии и милостыне. «Она же, – говорит преподобный </w:t>
      </w:r>
      <w:hyperlink r:id="rId8" w:tooltip="https://azbyka.ru/otechnik/Nestor_Letopisets/" w:history="1">
        <w:r>
          <w:rPr>
            <w:rStyle w:val="653"/>
            <w:rFonts w:ascii="Times New Roman" w:hAnsi="Times New Roman" w:eastAsia="Times New Roman" w:cs="Times New Roman" w:eastAsiaTheme="majorEastAsia"/>
            <w:i w:val="0"/>
            <w:iCs w:val="0"/>
            <w:color w:val="ab343a"/>
            <w:sz w:val="28"/>
            <w:szCs w:val="28"/>
          </w:rPr>
          <w:t xml:space="preserve">Нестор Летописец</w:t>
        </w:r>
      </w:hyperlink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– склонила голову и стояла, словно губа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напаяемая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внимая учению, и, поклонившись Патриарху, промолвила: «Молитвами твоими, Владыко, да сохранена буду от сетей вражеских».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Именно так, со слегка наклоненной головой, изображена святая Ольга на одной из фресок Киевского Софийского собора, а также на современной ей византийской миниатюре, в лицевой рукописи Хроники Иоанна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Скилицы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из Мадридской национальной библиотеки. Греческая надпись, сопровождающая миниатюру, называет Ольгу «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архонтессою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(то есть владычицей) руссов», «женою, Эльгою по имени, которая пришла к царю Константину и была крещена». Княгиня изображена в особом головном уборе, «как новокрещеная христианка и почетная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диаконисса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Русской Церкви». Рядом с ней в таком же уборе новокрещеной –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Малуша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(† 1001), впоследствии мать святого равноапостольного Владимира (память 15 июля).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Такого ненавистника русских, каким был император Константин Багрянородный, непросто было заставить сделаться крестным отцом «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архонтессы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Руси». В русской летописи сохранились рассказы о том,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как решительно и на равных разговаривала Ольга с императором, удивляя греков духовной зрелостью и государственной мудростью, показывая, что русскому народу как раз под силу воспринять и умножить высшие свершения греческого религиозного гения, лучшие плоды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византийской духовности и культуры. Так святой Ольге удалось мирным путем «взять Царьград», чего до нее не смог сделать ни один полководец. По свидетельству летописи, сам император вынужден был признать, что «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переклюкала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» (перехитрила) его Ольга, а народная память, соединив предания о вещем Олеге и мудрой Ольге, запечатлела эту духовную победу в былинном сказании «О взятии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Царяграда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княгиней Ольгой».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Константин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Багрянородный в своем сочинении «О церемониях византийского двора», дошедшем до нас в единственном списке, оставил подробное описание церемоний, сопровождавших пребывание святой Ольги в Константинополе. Он описывает торжественный прием в знаменитой палате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Магнавре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под пение бронзовых птиц и рычание медных львов, куда Ольга явилась с огромной свитой из 108 человек (не считая людей из дружины Святослава), и переговоры в б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олее узком кругу в покоях императрицы, и парадный обед в зале Юстиниана, где по стечению обстоятельств промыслительно встретились за одним столом четыре «государственных дамы»: бабушка и мать святого равноапостольного Владимира (святая Ольга и ее спутница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Малуша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) с бабушкой и матерью его будущей супруги Анны (императрица Елена и ее невестка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Феофано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). Пройдет немногим более полувека, и в Десятинном храме Святой Богородицы в Киеве будут рядом стоять мраморные гробницы святой Ольги, святого Владимира и блаженной «царицы Анны».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Во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время одного из приемов, рассказывает Константин Багрянородный, русской княгине было поднесено золотое, украшенное камнями блюдо. Святая Ольга пожертвовала его в ризницу Софийского собора, где его видел и описал в начале ХIII века русский дипломат Добрыня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Ядрейкович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впоследствии архиепископ Новгородский Антоний: «Блюдо велико злато служебное Ольги Русской, когда взяла дань, ходивши в Царьград; во блюде же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Ольжине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камень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драгий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на том же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камени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написан Христос».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Впрочем, лукавый император, сообщив столько подробностей, как бы в отместку за то, что «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переклюкала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его Ольга», задал нелегкую загадку историкам Русской Церкви. Дело в том, что преподобный Нестор Летописец рассказывает в «Повести временных лет» о Крещении Ольги под 6463 (955 или 954) годом, и это соответствует свидетельству византийской хроники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Кедрина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. Другой русский церковный писатель ХI века, Иаков Мних, в слове «Память и похвала Владимиру... и как крестилась бабка Владимира Ольга», говоря о кончине святой княгини († 969), отмечает, что она прожила христианкой пятнадцать лет,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и относит тем самым время Крещения к 954 году, что тоже совпадает с точностью до нескольких месяцев с указанием Нестора. Между тем Константин Багрянородный, описывая пребывание Ольги в Константинополе и называя точные даты устроенных им в ее честь приемов,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с несомненностью дает понять, что все это происходило в 957 году. Для примирения данных летописи, с одной стороны, и показаний Константина, с другой, русским церковным историкам пришлось предполагать одно из двух: либо святая Ольга для продолжения перегов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оров с императором в 957 году приехала в Константинополь уже во второй раз, либо она крестилась вообще не в Царьграде, а в Киеве в 954 году и единственное свое паломничество в Византию совершила, уже будучи христианкой. Первое предположение более вероятно.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Что касается непосредственно дипломатического исхода переговоров, у святой Ольги были основания остаться недовольной ими. Добившись успеха в вопросах о русской торговле в пред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елах империи и подтверждении мирного договора с Византией, заключенного Игорем в 944 году, она не смогла, однако, склонить императора к двум важным для Руси соглашениям: о династическом браке Святослава с византийской царевной и об условиях восстановления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существовавшей при Аскольде православной митрополии в Киеве. Ее недовольство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исходом миссии явственно звучит в ответе, который она дала уже по возвращении на родину присланным от императора послам. На запрос императора относительно обещанной военной помощи святая Ольга через послов резко ответила: «Если ты так же постоишь у меня в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Почайне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как я в Суду, то тогда дам тебе воев в помощь».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Вместе с тем, несмотря на неудачу стараний об учреждении на Руси церковной иерархии, святая Ольга, став христианкой, ревностно предавалась подвигам христианского благовестия среди язычников и церковного строительства: «Требища бесовская сокруши и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нача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жити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о Христе Иисусе». Она воздвигает храмы: святителя Николая и Святой Софии в Киеве, Благове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щения Пресвятой Богородицы – в Витебске, Святой Живоначальной Троицы – во Пскове. Псков с того времени называется в летописях Домом Святой Троицы. Храм, построенный Ольгой над рекой Великой, на месте, указанном ей, по свидетельству летописца, свыше «Лучом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Трисиятельного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Божества», простоял более полутора веков. В 1137 году святой князь Всеволод-Гавриил († 1138, память 11 февраля) заменил деревянный храм каменным, который был перестроен, в свою очередь, в 1З63 году и сменен, наконец, доныне существующим Троицким собором.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И другой важнейший памятник русского «монументального богословия», как называют нередко церковное з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одчество, связан с именем святой равноапостольной Ольги – храм Софии Премудрости Божией в Киеве, заложенный вскоре по возвращении ее из Царьграда и освященный 11 мая 960 года. Этот день отмечался впоследствии в Русской Церкви как особый церковный праздник.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 месяцеслове пергаменного Апостола 1307 года под 11 мая записан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о: «В тот же день освящение Святой Софии в Киеве в лето 6460». Дата памяти, по мнению церковных историков, указана по так называемому «антиохийскому», а не по общепринятому константинопольскому летоисчислению и соответствует 960 году от Рождества Христова.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Поскольку святая Ольга получила в Крещении имя святой равноапостольной Елены, обретшей Честное Древо Креста Христова в Иерусалиме, главной святыней новос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озданного Софийского храма стал Святой Крест, принесенный новой Еленой из Царьграда и полученный ею в благословение от Константинопольского патриарха. Крест, по преданию, был вырезан из цельного куска Животворящего Древа Господня. На кресте была надпись: «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Обновися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Русская земля Святым Крестом, его же прияла Ольга, благоверная княгиня».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Святая Ольга много сд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елала для увековечения памяти первых русских исповедников имени Христова: над могилой Аскольда воздвигла Никольский храм, где, по некоторым сведениям, сама была впоследствии похоронена, над могилой Дира – вышеназванный Софийский собор, который, простояв по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лвека, сгорел в 1017 году. Ярослав Мудрый на этом месте построил позже, в 1050 году, церковь святой Ирины, а святыни Софийского Ольгина храма перенес в каменный храм того же имени – доныне стоящую Софию Киевскую, заложенную в 1017 году и освященную около 1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030 года. В Прологе ХIII века об Ольгином кресте сказано: «иже ныне стоит в Киеве во Святой Софии в алтаре на правой стороне». Разграбление киевских святынь, продолженное после монголов литовцами, которым город достался в 1341 году, не пощадило и его. При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Ягайле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в период Люблинской унии, объединившей в 1384 году Польшу и Литву в одно государство, Ольгин крест был похищен из Софийского собора и вывезен католиками в Люблин. Дальнейшая судьба его неизвестна.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Но среди бояр и дружинников в Киеве нашлось немало людей, которые, по слову Соломона, «возненавидели Премудрость», как и святую княгиню Ольгу, строившую Ей храмы. Ревнители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языческой старины все смелее поднимали голову, с надеждой взирая на подраставшего Святослава, решительно отклонившего уговоры матери принять христианство и даже гневавшегося на нее за это. Нужно было спешить с задуманным делом Крещения Руси. Коварство Виза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нтии, не пожелавшей дать Руси христианство, было на руку язычникам. В поисках решения святая Ольга обращает взоры на запад. Никакого противоречия здесь нет. Святая Ольга († 969) принадлежала еще к неразделенной Церкви и вряд ли имела возможность вникать в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богословские тонкости греческого и латинского вероучения. Противостояние Запада и Востока представлялось ей прежде всего политическим соперничеством, второстепенным по сравнению с насущной задачей – созданием Русской Церкви, христианским просвещением Руси.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Под 959 годом немецкий хронист, именуемый «продолжатель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Регинона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», записывает: «пришли к королю послы Елены, королевы руссов, которая крещена в Константинополе, и просили посвятить для се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го народа епископа и священников». Король Оттон, будущий основатель Германской империи, охотно откликнулся на просьбу Ольги, но повел дело не спеша, с чисто немецкой основательностью. Лишь на Рождество следующего, 960 года, епископом Русским был поставлен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Либуций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из братии монастыря святого Альбана в Майнце. Но он вскоре умер (15 марта 961 года). На его место был посвящен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Адальберт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Трирский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которого Оттон, «щедро снабдив всем нужным», отправил, наконец, в Россию. Трудно сказать, что случилось бы, не промедли король так долго,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но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когда в 962 году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Адальберт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появился в Киеве, он «не успел ни в чем том, за чем был послан, и видел свои старания напрасными». Хуже того, на обратном пути «некоторые из его спутников были убиты, и сам епископ не избежал смертной опасности».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Оказалось, что за прошедшие два года, как и предвидела Ольга, в Киеве совершился окончательный переворот в пользу сторонников язычества и, не став ни православной, ни католической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Русь вообще раздумала принимать христианство. Языческая реакция проявилась настолько сильно, что пострадали не только немецкие миссионеры, но и некоторые из киевских христиан, крестившихся с Ольгой в Царьграде. По приказу Святослава был убит племянник св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ятой Ольги Глеб и разрушены некоторые построенные ею храмы. Разумеется, здесь не обошлось без византийской тайной дипломатии: настроенные против Ольги и встревоженные возможностью усиления Руси за счет союза с Оттоном, греки предпочли поддержать язычников.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Провал миссии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Адальберта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имел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промыслительное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значение для будущего Русской Православной Церкви, избежавшей папского пленения. Святой Ольге оставалось смириться с прои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сшедшим и полностью уйти в дела личного благочестия, предоставив бразды правления язычнику Святославу. С ней по-прежнему считались, к ее государственной мудрости неизменно обращались во всех трудных случаях. Когда Святослав отлучался из Киева, а он большую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часть времени проводил в походах и войнах, управление государством вновь вручалось княгине-матери. Но вопрос о Крещении Руси был временно снят с повестки дня, и это, конечно, огорчало святую Ольгу, считавшую Христово благовестие главным делом своей жизни.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Она кротко переносила скорби и огорчения, старалась помогать сыну в государственных и военных заботах, руковод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ить им в героических замыслах. Победы русского войска были для нее утешением, особенно разгром давнего врага Русского государства – Хазарского каганата. Дважды, в 965 и в 969 году, прошли войска Святослава по землям «неразумных хазаров», навсегда сокрушив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могущество иудейских властителей Приазовья и Нижнего Поволжья. След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ующий мощный удар был нанесен по мусульманской Волжской Болгарии, потом пришла очередь Болгарии Дунайской. Восемьдесят городов по Дунаю было взято киевскими дружинами. Одно беспокоило Ольгу: как бы, увлекшись войной на Балканах, Святослав не забыл о Киеве.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Весной 969 года Киев осадили печенеги: «И нельзя было вывести коня напоить, стояли печенеги на Лыбеди». Русское войско было далеко, на Дунае. Послав к сыну гонцов, святая Ольга сама возглавила оборону стол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ицы. Святослав, получив известие, вскоре прискакал в Киев, «приветствовал мать свою и детей и сокрушался, что случилось с ними от печенегов». Но, разгромив кочевников, воинствующий князь вновь стал говорить матери: «Не любо мне сидеть в Киеве, хочу жить в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Переяславце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на Дунае – там сер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едина земли моей». Святослав мечтал о создании огромной Русской державы от Дуная до Волги, которая объединила бы Русь, Болгарию, Сербию, Причерноморье и Приазовье и простерла свои пределы до самого Царьграда. Мудрая Ольга понимала, что при всем мужестве и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отваге русских дружин им не справиться с древней империей ромеев, Святослава ждала неудача. Но сын не слушал предостережений матери. Тогда святая Ольга сказала: «Видишь, я больна. Куда хочешь уйти от меня? Когда похоронишь меня, отправляйся куда захочешь».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Дни ее были сочтены, труды и скорби подорвали ее силы. 11 июля 969 года святая Ольга скончалась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«и плакали по ней плачем великим сын ее, и внуки, и все люди». Последние годы, среди торжества язычества, ей, когда-то гордой владычице, крестившейся от патриарха в столице православия, приходилось тайно держать при себе священника, чтобы не вызвать ново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й вспышки антихристианского фанатизма. Но перед смертью, вновь обретя прежнюю твердость и решимость, она запретила совершать над ней языческие тризны и завещала открыто похоронить ее по православному обряду. Пресвитер Григорий, который был с нею в 957 году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в Константинополе, в точности выполнил ее завещание. Святослава же, как сообщает летописец, ждала злая кончина: он был убит печенежским князем Курей, который отсек голову Святослава и из черепа сделал себе чашу, оковал золотом и во время пиров пил из нее.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Святая Ольга была погребена как христианка. «И тако поживши и добре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славящи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Бога в Троице, Отца и Сына и Святого Духа,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почи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в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блазии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вере,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сконча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житие свое с миром о Христе Иисусе, Господе нашем». Как свой пророческий завет последующим поколениям, она с глубоким христианским смирением исповедала свою веру о своем народе: «Воля Божия да будет! Аще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восхощет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Бог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помиловати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роду моего Земли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Руския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да возложит на сердце им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обратитися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к Богу, якоже и мене Бог сие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дарова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Бог прославил святую труженицу православия, «начальницу веры» в Русской земле, чудесами и нетлением мощей. Иаков Мних († 1072) через сто лет после ее смерти писал в своей «Памяти и похвале Владимиру»: «Бог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прослави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тело рабы Своей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Олены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и есть в гробе тело ее честное, и неразрушимое пребывает и до сих дней. Блаженная княгиня Ольга прославила Бога всеми делами своими добрыми, и Бог прославил ее». При святом князе Владимире, по некоторы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м данным, в 1007 году, мощи святой Ольги были перенесены в Десятинный храм Успения Пресвятой Богородицы и положены в специальном саркофаге, в каких принято было класть мощи святых на православном Востоке. «И ино чудо слышите о ней: гроб камен мал в церкви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Святыя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Богородицы, ту церковь создал блаженный князь Владимир, и есть гроб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блаженныя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Ольги. И на верху гроба оконце сотворено – да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видети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тело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блаженныя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Ольги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лежаще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цело». Но не всем было явлено чудо нетления мощей равноапостольной княгини: «Иже с верою придет, отворится оконце, и видит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честное тело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лежаще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цело и дивится чуду таковому – толико лет в гробе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лежаще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телу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неразрушившемуся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. Достойно похвалы всякой тело то честное: в гробе цело, яко спя, почивает. А другим, иже не с верою приходят, не отворится оконце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гробное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и не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видет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тела того честного, но только гроб».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Так и по кончине святая Ольга проповедовала вечную жизнь и воскресение, наполняя радостью верующих и вразумляя неверующих. Была она, по словам преподобного Нестора Летописца, «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предтекущая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христианской земли, аки денница пред солнцем и аки заря пред светом».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12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Святой равноапостольный великий князь Владимир, вознося свое благодарение Богу в день Крещения Руси, свидетельствовал от лица своих современников о святой равноапостольной Ольге знаменательными словами: «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Благословити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тя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хотят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сынове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рустии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, и в последний род внук твоих».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pPr>
        <w:pStyle w:val="652"/>
        <w:contextualSpacing w:val="0"/>
        <w:ind w:firstLine="709"/>
        <w:jc w:val="both"/>
        <w:spacing w:before="0" w:beforeAutospacing="0" w:after="0" w:afterAutospacing="0"/>
        <w:shd w:val="clear" w:color="auto" w:fill="ffffff"/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Святая равноапостольная Ольга была канонизирована на соборе 1547 года, который подтвердил повсеместное почитание ее на </w:t>
      </w:r>
      <w:r>
        <w:rPr>
          <w:rFonts w:ascii="Times New Roman" w:hAnsi="Times New Roman" w:eastAsia="Times New Roman" w:cs="Times New Roman"/>
          <w:i w:val="0"/>
          <w:iCs w:val="0"/>
          <w:color w:val="222222"/>
          <w:sz w:val="28"/>
          <w:szCs w:val="28"/>
        </w:rPr>
        <w:t xml:space="preserve">Руси еще в домонгольскую эпоху. Христианское имя святой Ольги – Елена (в переводе с древнегреческого «факел») – стало выражением горения ее духа. Святая Ольга (Елена) приняла духовный огонь, который не угас во всей тысячелетней истории христианской России.</w:t>
      </w:r>
      <w:r>
        <w:rPr>
          <w:rFonts w:ascii="Times New Roman" w:hAnsi="Times New Roman" w:cs="Times New Roman"/>
          <w:i w:val="0"/>
          <w:iCs w:val="0"/>
          <w:color w:val="222222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7"/>
    <w:link w:val="639"/>
    <w:uiPriority w:val="10"/>
    <w:rPr>
      <w:sz w:val="48"/>
      <w:szCs w:val="48"/>
    </w:rPr>
  </w:style>
  <w:style w:type="character" w:styleId="37">
    <w:name w:val="Subtitle Char"/>
    <w:basedOn w:val="627"/>
    <w:link w:val="641"/>
    <w:uiPriority w:val="11"/>
    <w:rPr>
      <w:sz w:val="24"/>
      <w:szCs w:val="24"/>
    </w:rPr>
  </w:style>
  <w:style w:type="character" w:styleId="39">
    <w:name w:val="Quote Char"/>
    <w:link w:val="643"/>
    <w:uiPriority w:val="29"/>
    <w:rPr>
      <w:i/>
    </w:rPr>
  </w:style>
  <w:style w:type="character" w:styleId="41">
    <w:name w:val="Intense Quote Char"/>
    <w:link w:val="647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7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7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7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7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next w:val="617"/>
    <w:link w:val="63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19">
    <w:name w:val="Heading 2"/>
    <w:basedOn w:val="617"/>
    <w:next w:val="617"/>
    <w:link w:val="63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20">
    <w:name w:val="Heading 3"/>
    <w:basedOn w:val="617"/>
    <w:next w:val="617"/>
    <w:link w:val="63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21">
    <w:name w:val="Heading 4"/>
    <w:basedOn w:val="617"/>
    <w:next w:val="617"/>
    <w:link w:val="63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22">
    <w:name w:val="Heading 5"/>
    <w:basedOn w:val="617"/>
    <w:next w:val="617"/>
    <w:link w:val="63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23">
    <w:name w:val="Heading 6"/>
    <w:basedOn w:val="617"/>
    <w:next w:val="617"/>
    <w:link w:val="63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24">
    <w:name w:val="Heading 7"/>
    <w:basedOn w:val="617"/>
    <w:next w:val="617"/>
    <w:link w:val="63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25">
    <w:name w:val="Heading 8"/>
    <w:basedOn w:val="617"/>
    <w:next w:val="617"/>
    <w:link w:val="63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26">
    <w:name w:val="Heading 9"/>
    <w:basedOn w:val="617"/>
    <w:next w:val="617"/>
    <w:link w:val="63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27" w:default="1">
    <w:name w:val="Default Paragraph Font"/>
    <w:uiPriority w:val="1"/>
    <w:semiHidden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Заголовок 1 Знак"/>
    <w:basedOn w:val="627"/>
    <w:link w:val="6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31" w:customStyle="1">
    <w:name w:val="Заголовок 2 Знак"/>
    <w:basedOn w:val="627"/>
    <w:link w:val="6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32" w:customStyle="1">
    <w:name w:val="Заголовок 3 Знак"/>
    <w:basedOn w:val="627"/>
    <w:link w:val="6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33" w:customStyle="1">
    <w:name w:val="Заголовок 4 Знак"/>
    <w:basedOn w:val="627"/>
    <w:link w:val="6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34" w:customStyle="1">
    <w:name w:val="Заголовок 5 Знак"/>
    <w:basedOn w:val="627"/>
    <w:link w:val="6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635" w:customStyle="1">
    <w:name w:val="Заголовок 6 Знак"/>
    <w:basedOn w:val="627"/>
    <w:link w:val="6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6" w:customStyle="1">
    <w:name w:val="Заголовок 7 Знак"/>
    <w:basedOn w:val="627"/>
    <w:link w:val="624"/>
    <w:uiPriority w:val="9"/>
    <w:semiHidden/>
    <w:rPr>
      <w:rFonts w:eastAsiaTheme="majorEastAsia" w:cstheme="majorBidi"/>
      <w:color w:val="595959" w:themeColor="text1" w:themeTint="A6"/>
    </w:rPr>
  </w:style>
  <w:style w:type="character" w:styleId="637" w:customStyle="1">
    <w:name w:val="Заголовок 8 Знак"/>
    <w:basedOn w:val="627"/>
    <w:link w:val="6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38" w:customStyle="1">
    <w:name w:val="Заголовок 9 Знак"/>
    <w:basedOn w:val="627"/>
    <w:link w:val="626"/>
    <w:uiPriority w:val="9"/>
    <w:semiHidden/>
    <w:rPr>
      <w:rFonts w:eastAsiaTheme="majorEastAsia" w:cstheme="majorBidi"/>
      <w:color w:val="272727" w:themeColor="text1" w:themeTint="D8"/>
    </w:rPr>
  </w:style>
  <w:style w:type="paragraph" w:styleId="639">
    <w:name w:val="Title"/>
    <w:basedOn w:val="617"/>
    <w:next w:val="617"/>
    <w:link w:val="6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40" w:customStyle="1">
    <w:name w:val="Заголовок Знак"/>
    <w:basedOn w:val="627"/>
    <w:link w:val="6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1">
    <w:name w:val="Subtitle"/>
    <w:basedOn w:val="617"/>
    <w:next w:val="617"/>
    <w:link w:val="6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42" w:customStyle="1">
    <w:name w:val="Подзаголовок Знак"/>
    <w:basedOn w:val="627"/>
    <w:link w:val="6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3">
    <w:name w:val="Quote"/>
    <w:basedOn w:val="617"/>
    <w:next w:val="617"/>
    <w:link w:val="64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44" w:customStyle="1">
    <w:name w:val="Цитата 2 Знак"/>
    <w:basedOn w:val="627"/>
    <w:link w:val="643"/>
    <w:uiPriority w:val="29"/>
    <w:rPr>
      <w:i/>
      <w:iCs/>
      <w:color w:val="404040" w:themeColor="text1" w:themeTint="BF"/>
    </w:rPr>
  </w:style>
  <w:style w:type="paragraph" w:styleId="645">
    <w:name w:val="List Paragraph"/>
    <w:basedOn w:val="617"/>
    <w:uiPriority w:val="34"/>
    <w:qFormat/>
    <w:pPr>
      <w:contextualSpacing/>
      <w:ind w:left="720"/>
    </w:pPr>
  </w:style>
  <w:style w:type="character" w:styleId="646">
    <w:name w:val="Intense Emphasis"/>
    <w:basedOn w:val="627"/>
    <w:uiPriority w:val="21"/>
    <w:qFormat/>
    <w:rPr>
      <w:i/>
      <w:iCs/>
      <w:color w:val="2f5496" w:themeColor="accent1" w:themeShade="BF"/>
    </w:rPr>
  </w:style>
  <w:style w:type="paragraph" w:styleId="647">
    <w:name w:val="Intense Quote"/>
    <w:basedOn w:val="617"/>
    <w:next w:val="617"/>
    <w:link w:val="64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648" w:customStyle="1">
    <w:name w:val="Выделенная цитата Знак"/>
    <w:basedOn w:val="627"/>
    <w:link w:val="647"/>
    <w:uiPriority w:val="30"/>
    <w:rPr>
      <w:i/>
      <w:iCs/>
      <w:color w:val="2f5496" w:themeColor="accent1" w:themeShade="BF"/>
    </w:rPr>
  </w:style>
  <w:style w:type="character" w:styleId="649">
    <w:name w:val="Intense Reference"/>
    <w:basedOn w:val="627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650" w:customStyle="1">
    <w:name w:val="short-description"/>
    <w:basedOn w:val="6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  <w14:ligatures w14:val="none"/>
    </w:rPr>
  </w:style>
  <w:style w:type="paragraph" w:styleId="651" w:customStyle="1">
    <w:name w:val="separator"/>
    <w:basedOn w:val="6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  <w14:ligatures w14:val="none"/>
    </w:rPr>
  </w:style>
  <w:style w:type="paragraph" w:styleId="652">
    <w:name w:val="Normal (Web)"/>
    <w:basedOn w:val="61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  <w14:ligatures w14:val="none"/>
    </w:rPr>
  </w:style>
  <w:style w:type="character" w:styleId="653">
    <w:name w:val="Hyperlink"/>
    <w:basedOn w:val="627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zbyka.ru/otechnik/Nestor_Letopiset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Гатчинская епархия</dc:creator>
  <cp:keywords/>
  <dc:description/>
  <cp:lastModifiedBy>ab_medvedeva</cp:lastModifiedBy>
  <cp:revision>4</cp:revision>
  <dcterms:created xsi:type="dcterms:W3CDTF">2025-12-24T12:50:00Z</dcterms:created>
  <dcterms:modified xsi:type="dcterms:W3CDTF">2025-12-30T09:11:49Z</dcterms:modified>
</cp:coreProperties>
</file>